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Physical Education: Content and Design (5095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6F7BB8" w:rsidRPr="005106CD" w:rsidTr="006F7BB8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6F7BB8" w:rsidRPr="005106CD" w:rsidRDefault="006F7BB8" w:rsidP="006F7BB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06CD">
              <w:rPr>
                <w:rFonts w:asciiTheme="minorHAnsi" w:hAnsiTheme="minorHAnsi" w:cstheme="minorHAnsi"/>
                <w:b/>
                <w:sz w:val="28"/>
                <w:szCs w:val="28"/>
              </w:rPr>
              <w:t>Required Course Numbers</w:t>
            </w:r>
          </w:p>
        </w:tc>
      </w:tr>
      <w:tr w:rsidR="006F7BB8" w:rsidRPr="005106CD" w:rsidTr="006F7BB8">
        <w:trPr>
          <w:trHeight w:val="143"/>
          <w:tblHeader/>
        </w:trPr>
        <w:tc>
          <w:tcPr>
            <w:tcW w:w="4752" w:type="dxa"/>
            <w:shd w:val="clear" w:color="auto" w:fill="D9D9D9"/>
          </w:tcPr>
          <w:p w:rsidR="006F7BB8" w:rsidRPr="005106CD" w:rsidRDefault="006F7BB8" w:rsidP="008D55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06CD">
              <w:rPr>
                <w:rFonts w:asciiTheme="minorHAnsi" w:hAnsiTheme="minorHAnsi" w:cstheme="minorHAnsi"/>
                <w:b/>
                <w:sz w:val="28"/>
                <w:szCs w:val="28"/>
              </w:rPr>
              <w:t>Test Content Categories</w:t>
            </w:r>
          </w:p>
          <w:p w:rsidR="006F7BB8" w:rsidRPr="005106CD" w:rsidRDefault="006F7BB8" w:rsidP="008D55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hAnsiTheme="minorHAnsi" w:cstheme="minorHAnsi"/>
              </w:rPr>
            </w:pPr>
            <w:r w:rsidRPr="005106CD">
              <w:rPr>
                <w:rStyle w:val="A7"/>
                <w:rFonts w:asciiTheme="minorHAnsi" w:hAnsiTheme="minorHAnsi" w:cstheme="minorHAnsi"/>
                <w:sz w:val="24"/>
                <w:szCs w:val="24"/>
              </w:rPr>
              <w:t xml:space="preserve">I. </w:t>
            </w:r>
            <w:r w:rsidRPr="005106CD">
              <w:rPr>
                <w:rFonts w:asciiTheme="minorHAnsi" w:hAnsiTheme="minorHAnsi" w:cstheme="minorHAnsi"/>
                <w:b/>
                <w:bCs/>
                <w:color w:val="00498D"/>
              </w:rPr>
              <w:t>Content Knowledge and Student Growth and Development (23%)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106C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Core Concepts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1. Terminology, principles, concepts, and applications of the basic sciences as related to motor skills and movement activities (e.g., anatomy and physiology, exercise physiology, biomechanics and kinesiology, motor development and motor learning)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2. Principles of biomechanics and kinesiology as they relate to motor skills and movement patterns (e.g., summation of forces, center of gravity, force/speed relations, torque)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3. Movement concepts (e.g., body awareness, spatial awareness, effort, relationship)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4. Exercise physiology (e.g., components of health-related fitness; components of skill-related fitness; fitness guidelines such as freq</w:t>
            </w:r>
            <w:bookmarkStart w:id="0" w:name="_GoBack"/>
            <w:bookmarkEnd w:id="0"/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uency, intensity, time/duration, type/mode; principles of exercise such as specificity, overload, progression; roles of body systems in exercise; short- and long-term effects of physical training; nutrition as related to exercise; fitness; metabolic response to exercise)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5. Anatomy and physiology (e.g., skeletal, muscular, nervous, circulatory, and respiratory systems)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93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 Current and historical trends, issues, and developments in physical education (e.g., laws, teaching methods, theories, concepts, techniques)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7. Understanding of the rules, strategies, skills, techniques, and concepts associated with a variety of movement activities and games across the age and grade spectra; emphasis predominantly on basketball, soccer, swimming, tennis, track and field, and volleyball, with questions based possibly on other sports and activities commonly used in physical education settings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8. Liability and legal considerations pertaining to the use of equipment, class organization, supervision, and program selection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9. Effects of substance abuse on student performance, health, and behavior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106C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B. Student Growth and Development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1. Sequential and developmentally appropriate learning and practice opportunities based on growth and motor development stages, individual characteristics and individual needs of students, learning environment, and task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2. Monitoring of individual performance and group performance in order to design safe instruction that meets students’ developmental needs in the psychomotor, cognitive, and affective domains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 Developmental readiness to learn and refine motor skills and movement patterns (e.g., biological, psychological, sociological, experiential, environmental)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4. Perception in motor development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5. Appropriate and effective instruction related to students’ cultures and ethnicities, personal values, family structures, home environments, and community values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6. Use of appropriate professional support services and resources to meet students’ needs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404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5106CD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II. Management, Motivation, and Communication (19%)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106CD">
              <w:rPr>
                <w:rFonts w:asciiTheme="minorHAnsi" w:hAnsiTheme="minorHAnsi" w:cstheme="minorHAnsi"/>
                <w:b/>
                <w:bCs/>
                <w:color w:val="000000"/>
              </w:rPr>
              <w:t>A. Management and Motivation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1. Principles of classroom management practices that create effective learning experiences in physical education settings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2. Psychological and social factors that affect individual learning and group learning, participation, cooperation, and performance in physical education settings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3. Organization, allocation, and management of resources to provide active and equitable learning experiences (e.g., time, space, equipment, activities, teacher attention, students)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4. Motivation of students to participate in physical activity both in school and outside of school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 Promotion of positive relationships, encouragement of responsible personal and social behaviors among students, and establishment of a productive learning environment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6. Development and use of an effective behavior management plan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106C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B. Communication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1. Effective verbal and nonverbal communication skills in a variety of physical activity settings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2. Specific appropriate instructional feedback in skill acquisition, student learning, and motivation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3. Communication of classroom management and instructional information in a variety of ways (e.g., verbally and nonverbally and via bulletin boards, music, task cards, posters, technology)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4. Communication in ways that show respect and consideration for students, colleagues, and parents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5106CD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III. Planning, Instruction, and Student Assessment (19%)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106C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Planning and Instruction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1. Teaching of skillful movement, physical activity, and fitness via pedagogy, sociology, psychology, anatomy and physiology, exercise physiology, biomechanics and kinesiology, motor development and motor learning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66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 Sequencing of motor skill activities and use of movement concepts and effective strategies to improve learning in physical education activities and to improve skill development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3. Provision of feedback to enhance skill development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4. Activities designed to improve health-related and skill-related fitness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5. Current issues, trends, and laws affecting the choice of appropriate physical education activities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6. Identification, development, and implementation of appropriate program and instructional goals and objectives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7. Development of unit and lesson plans based on local, state, and national standards, program goals, instructional goals, and students’ needs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8. Appropriate instructional strategies to facilitate learning in the physical activity setting based on selected content, students’ needs, safety concerns, facilities and equipment, and instructional models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9. Use of teaching resources and curriculum materials to design learning experiences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10. Explanations, demonstrations, and appropriate instructional cues and prompts to link physical activity concepts to learning experiences and to facilitate motor skill performance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57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11. General and specific safety and injury prevention guidelines for planning of movement and fitness activities (e.g., first aid, cardiopulmonary resuscitation)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106C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B. Student Assessment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1. Assessment of student skill performance and fitness via a variety of tools (e.g., observations, data, charts, graphs, rating scales)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2. Gathering of data and assessment of student learning in the cognitive and affective domains by a variety of techniques (e.g., written assessments, rating scales, observations)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40489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3. Understanding of fitness assessments such as President’s Challenge and Fitnessgram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4. Types of assessments and assessment methods (e.g., formative, summative, authentic, portfolio, standardized, rubric, criterion referenced, norm referenced)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5. Validity, reliability, bias, and ways of interpreting assessment results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6. Appropriate assessment techniques to assess and improve students’ understanding and performance, provide feedback, communicate students’ progress, guide students’ personal goal setting, and guide curricular and instructional decisions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 Involvement of students in self-assessment and peer assessment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8. Appropriate assessment of individuals with disabilities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9. Referral procedures under the Individuals with Disabilities Education Act and Section 504 of the Vocational Rehabilitation Act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5106CD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IV. Collaboration, Reflection, and Technology (14%)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106C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Collaboration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1. Current educational issues that cross subject matter boundaries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2. Integration of knowledge and skills from multiple subject areas in physical education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3. Establishment of productive relationships to support student growth and well-being with school colleagues and administrators, parents and guardians, community members, and organizations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4. Promotion of a variety of opportunities for physical activity in the school and the community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106C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B. Reflection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1. Use of the reflective cycle to facilitate change in teacher performance, student learning, and instructional goals and decisions (e.g., planning, teaching, assessment, reflection)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blPrEx>
          <w:tblCellMar>
            <w:left w:w="108" w:type="dxa"/>
            <w:right w:w="108" w:type="dxa"/>
          </w:tblCellMar>
        </w:tblPrEx>
        <w:trPr>
          <w:trHeight w:val="120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 Use of available resources to develop and grow as a reflective professional (e.g., students, colleagues, literature, professional organization memberships, professional development opportunities)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5106CD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C. Technology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1. Design, development, and implementation of student learning activities that integrate information technology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2. Use of technologies to communicate, instruct, assess, keep records, network, locate resources, present information, and enhance professional development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498D"/>
                <w:sz w:val="24"/>
                <w:szCs w:val="24"/>
              </w:rPr>
            </w:pPr>
            <w:r w:rsidRPr="005106CD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>V. Instructional Design (25%)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5106CD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A. Fitness Instruction (1 question)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1. Design activities that improve students’ levels of health-related and skill-related fitness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2. Uses developmentally appropriate activities to increase fitness levels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3. Understands the different types of fitness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4. Modification activities for special populations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5106CD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B. Skill Instruction (1 question)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F7BB8" w:rsidRPr="005106CD" w:rsidRDefault="006F7BB8" w:rsidP="00BA356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 Sequence motor skill activities in a developmentally appropriate manner to improve learning in physical education activities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  <w:tr w:rsidR="006F7BB8" w:rsidRPr="005106CD" w:rsidTr="006F7B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F7BB8" w:rsidRPr="005106CD" w:rsidRDefault="006F7BB8" w:rsidP="008D5536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2. Use movement concepts and developmentally appropriate strategies for improving skill development</w:t>
            </w: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F7BB8" w:rsidRPr="005106CD" w:rsidRDefault="006F7BB8" w:rsidP="008D5536">
            <w:pPr>
              <w:rPr>
                <w:rFonts w:asciiTheme="minorHAnsi" w:hAnsiTheme="minorHAnsi" w:cstheme="minorHAnsi"/>
              </w:rPr>
            </w:pPr>
          </w:p>
        </w:tc>
      </w:tr>
    </w:tbl>
    <w:p w:rsidR="006D0E58" w:rsidRPr="005106CD" w:rsidRDefault="006D0E58">
      <w:pPr>
        <w:rPr>
          <w:rFonts w:asciiTheme="minorHAnsi" w:hAnsiTheme="minorHAnsi" w:cstheme="minorHAnsi"/>
        </w:rPr>
      </w:pPr>
    </w:p>
    <w:sectPr w:rsidR="006D0E58" w:rsidRPr="005106CD" w:rsidSect="00C2437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A6" w:rsidRDefault="003847A6" w:rsidP="00B40489">
      <w:pPr>
        <w:spacing w:after="0" w:line="240" w:lineRule="auto"/>
      </w:pPr>
      <w:r>
        <w:separator/>
      </w:r>
    </w:p>
  </w:endnote>
  <w:endnote w:type="continuationSeparator" w:id="0">
    <w:p w:rsidR="003847A6" w:rsidRDefault="003847A6" w:rsidP="00B4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E15F3B" w:rsidRDefault="00EF3E26" w:rsidP="00C24371">
    <w:pPr>
      <w:pStyle w:val="Footer"/>
      <w:spacing w:after="0"/>
      <w:rPr>
        <w:sz w:val="16"/>
      </w:rPr>
    </w:pPr>
    <w:r>
      <w:rPr>
        <w:sz w:val="16"/>
      </w:rPr>
      <w:t>Copyright © 2017</w:t>
    </w:r>
    <w:r w:rsidR="00576044" w:rsidRPr="00E15F3B">
      <w:rPr>
        <w:sz w:val="16"/>
      </w:rPr>
      <w:t xml:space="preserve"> by Educational Testing Service. All rights reserved. </w:t>
    </w:r>
    <w:r w:rsidR="00576044" w:rsidRPr="00E15F3B">
      <w:rPr>
        <w:bCs/>
        <w:sz w:val="16"/>
      </w:rPr>
      <w:t>ETS, the ETS logo and</w:t>
    </w:r>
    <w:r w:rsidR="00576044">
      <w:rPr>
        <w:bCs/>
        <w:sz w:val="16"/>
      </w:rPr>
      <w:t xml:space="preserve"> PRAXIS </w:t>
    </w:r>
    <w:r w:rsidR="00576044" w:rsidRPr="00E15F3B">
      <w:rPr>
        <w:bCs/>
        <w:sz w:val="16"/>
      </w:rPr>
      <w:t xml:space="preserve">are registered trademarks of Educational Testing Service (ETS). </w:t>
    </w:r>
    <w:r w:rsidR="00576044">
      <w:rPr>
        <w:bCs/>
        <w:sz w:val="16"/>
      </w:rPr>
      <w:t>31146</w:t>
    </w:r>
  </w:p>
  <w:p w:rsidR="007D29C3" w:rsidRDefault="00384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A6" w:rsidRDefault="003847A6" w:rsidP="00B40489">
      <w:pPr>
        <w:spacing w:after="0" w:line="240" w:lineRule="auto"/>
      </w:pPr>
      <w:r>
        <w:separator/>
      </w:r>
    </w:p>
  </w:footnote>
  <w:footnote w:type="continuationSeparator" w:id="0">
    <w:p w:rsidR="003847A6" w:rsidRDefault="003847A6" w:rsidP="00B4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564D42" w:rsidRDefault="00B40489" w:rsidP="00C24371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9C3" w:rsidRDefault="00576044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F3E26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:rsidR="007D29C3" w:rsidRDefault="00576044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F3E26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B40489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2359" cy="476250"/>
          <wp:effectExtent l="0" t="0" r="3175" b="0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044">
      <w:rPr>
        <w:rFonts w:ascii="Arial" w:hAnsi="Arial" w:cs="Arial"/>
        <w:b/>
        <w:i/>
        <w:sz w:val="28"/>
        <w:szCs w:val="28"/>
      </w:rPr>
      <w:tab/>
    </w:r>
    <w:r w:rsidR="00576044" w:rsidRPr="00564D42">
      <w:rPr>
        <w:rFonts w:ascii="Arial" w:hAnsi="Arial" w:cs="Arial"/>
        <w:b/>
        <w:i/>
        <w:sz w:val="28"/>
        <w:szCs w:val="28"/>
      </w:rPr>
      <w:t>Praxis</w:t>
    </w:r>
    <w:r w:rsidR="00576044" w:rsidRPr="00564D42">
      <w:rPr>
        <w:rFonts w:ascii="Arial" w:hAnsi="Arial" w:cs="Arial"/>
        <w:b/>
        <w:sz w:val="28"/>
        <w:szCs w:val="28"/>
        <w:vertAlign w:val="superscript"/>
      </w:rPr>
      <w:t>®</w:t>
    </w:r>
    <w:r w:rsidR="00576044" w:rsidRPr="00564D42">
      <w:rPr>
        <w:rFonts w:ascii="Arial" w:hAnsi="Arial" w:cs="Arial"/>
        <w:b/>
        <w:sz w:val="28"/>
        <w:szCs w:val="28"/>
      </w:rPr>
      <w:t xml:space="preserve"> </w:t>
    </w:r>
    <w:r w:rsidR="00576044" w:rsidRPr="00564D42">
      <w:rPr>
        <w:rFonts w:ascii="Arial" w:hAnsi="Arial" w:cs="Arial"/>
        <w:b/>
        <w:bCs/>
        <w:sz w:val="28"/>
        <w:szCs w:val="28"/>
      </w:rPr>
      <w:t>Physical Education: Content and Design (5095)</w:t>
    </w:r>
  </w:p>
  <w:p w:rsidR="007D29C3" w:rsidRPr="00564D42" w:rsidRDefault="00576044" w:rsidP="00C24371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564D42">
      <w:rPr>
        <w:rFonts w:ascii="Arial" w:hAnsi="Arial" w:cs="Arial"/>
        <w:b/>
        <w:sz w:val="28"/>
        <w:szCs w:val="28"/>
      </w:rPr>
      <w:t>Curriculum Crosswalk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89"/>
    <w:rsid w:val="00000AC6"/>
    <w:rsid w:val="00027D53"/>
    <w:rsid w:val="000469EA"/>
    <w:rsid w:val="000E6797"/>
    <w:rsid w:val="00165904"/>
    <w:rsid w:val="00167687"/>
    <w:rsid w:val="001804F5"/>
    <w:rsid w:val="001C54DB"/>
    <w:rsid w:val="001E0B30"/>
    <w:rsid w:val="002B7258"/>
    <w:rsid w:val="002E5859"/>
    <w:rsid w:val="002F7973"/>
    <w:rsid w:val="003109CC"/>
    <w:rsid w:val="003847A6"/>
    <w:rsid w:val="003A0BBD"/>
    <w:rsid w:val="003C0968"/>
    <w:rsid w:val="00402A01"/>
    <w:rsid w:val="00424312"/>
    <w:rsid w:val="00474E89"/>
    <w:rsid w:val="00495F6C"/>
    <w:rsid w:val="004B1384"/>
    <w:rsid w:val="004D66F8"/>
    <w:rsid w:val="005106CD"/>
    <w:rsid w:val="00576044"/>
    <w:rsid w:val="005C453E"/>
    <w:rsid w:val="005E2C43"/>
    <w:rsid w:val="005F2329"/>
    <w:rsid w:val="005F66FE"/>
    <w:rsid w:val="00646987"/>
    <w:rsid w:val="006B60D4"/>
    <w:rsid w:val="006C11F4"/>
    <w:rsid w:val="006D0E58"/>
    <w:rsid w:val="006D34F0"/>
    <w:rsid w:val="006F7BB8"/>
    <w:rsid w:val="00771D37"/>
    <w:rsid w:val="00775129"/>
    <w:rsid w:val="007817AC"/>
    <w:rsid w:val="007B0919"/>
    <w:rsid w:val="007B489C"/>
    <w:rsid w:val="007C4265"/>
    <w:rsid w:val="007C4655"/>
    <w:rsid w:val="007C6B9C"/>
    <w:rsid w:val="008240AF"/>
    <w:rsid w:val="008610F0"/>
    <w:rsid w:val="00875AA0"/>
    <w:rsid w:val="008A2B84"/>
    <w:rsid w:val="008B49C5"/>
    <w:rsid w:val="008B737F"/>
    <w:rsid w:val="008D5994"/>
    <w:rsid w:val="00A50527"/>
    <w:rsid w:val="00A6508F"/>
    <w:rsid w:val="00B02900"/>
    <w:rsid w:val="00B2042D"/>
    <w:rsid w:val="00B40489"/>
    <w:rsid w:val="00B97C3D"/>
    <w:rsid w:val="00BA356D"/>
    <w:rsid w:val="00BF26B9"/>
    <w:rsid w:val="00BF6F3D"/>
    <w:rsid w:val="00C5579C"/>
    <w:rsid w:val="00CB3E5A"/>
    <w:rsid w:val="00CE1ADB"/>
    <w:rsid w:val="00D15D3D"/>
    <w:rsid w:val="00D27AFF"/>
    <w:rsid w:val="00DA68E7"/>
    <w:rsid w:val="00DC68C0"/>
    <w:rsid w:val="00DE053D"/>
    <w:rsid w:val="00E12D91"/>
    <w:rsid w:val="00E47DB0"/>
    <w:rsid w:val="00E7195B"/>
    <w:rsid w:val="00E957DB"/>
    <w:rsid w:val="00EB4437"/>
    <w:rsid w:val="00ED1995"/>
    <w:rsid w:val="00EF3E26"/>
    <w:rsid w:val="00F10605"/>
    <w:rsid w:val="00F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C5683A-9E81-4138-AD5C-B4DCE5A9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4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4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0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489"/>
    <w:rPr>
      <w:sz w:val="22"/>
      <w:szCs w:val="22"/>
    </w:rPr>
  </w:style>
  <w:style w:type="paragraph" w:customStyle="1" w:styleId="Default">
    <w:name w:val="Default"/>
    <w:rsid w:val="00B40489"/>
    <w:pPr>
      <w:autoSpaceDE w:val="0"/>
      <w:autoSpaceDN w:val="0"/>
      <w:adjustRightInd w:val="0"/>
    </w:pPr>
    <w:rPr>
      <w:rFonts w:ascii="Myriad Pro Light" w:eastAsia="Times New Roman" w:hAnsi="Myriad Pro Light" w:cs="Myriad Pro Light"/>
      <w:color w:val="000000"/>
      <w:sz w:val="24"/>
      <w:szCs w:val="24"/>
    </w:rPr>
  </w:style>
  <w:style w:type="character" w:customStyle="1" w:styleId="A7">
    <w:name w:val="A7"/>
    <w:uiPriority w:val="99"/>
    <w:rsid w:val="00B40489"/>
    <w:rPr>
      <w:rFonts w:cs="Myriad Pro Light"/>
      <w:b/>
      <w:bCs/>
      <w:color w:val="00498D"/>
      <w:sz w:val="22"/>
      <w:szCs w:val="22"/>
    </w:rPr>
  </w:style>
  <w:style w:type="character" w:customStyle="1" w:styleId="A5">
    <w:name w:val="A5"/>
    <w:uiPriority w:val="99"/>
    <w:rsid w:val="00B40489"/>
    <w:rPr>
      <w:rFonts w:cs="Myriad Pro Ligh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5</cp:revision>
  <dcterms:created xsi:type="dcterms:W3CDTF">2017-07-25T19:01:00Z</dcterms:created>
  <dcterms:modified xsi:type="dcterms:W3CDTF">2017-08-18T17:57:00Z</dcterms:modified>
</cp:coreProperties>
</file>